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Dategrp-10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713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/2803/2025, возбужденное по ч.4 ст.12.15 КоАП РФ в отношении </w:t>
      </w: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pStyle w:val="Heading2"/>
        <w:keepLines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rStyle w:val="cat-FIOgrp-15rplc-10"/>
          <w:b w:val="0"/>
          <w:bCs w:val="0"/>
          <w:i w:val="0"/>
          <w:iCs w:val="0"/>
          <w:sz w:val="26"/>
          <w:szCs w:val="26"/>
        </w:rPr>
        <w:t>фио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Style w:val="cat-Dategrp-11rplc-11"/>
          <w:b w:val="0"/>
          <w:bCs w:val="0"/>
          <w:i w:val="0"/>
          <w:iCs w:val="0"/>
          <w:sz w:val="26"/>
          <w:szCs w:val="26"/>
        </w:rPr>
        <w:t>дата</w:t>
      </w:r>
      <w:r>
        <w:rPr>
          <w:b w:val="0"/>
          <w:bCs w:val="0"/>
          <w:i w:val="0"/>
          <w:iCs w:val="0"/>
          <w:sz w:val="26"/>
          <w:szCs w:val="26"/>
        </w:rPr>
        <w:t xml:space="preserve"> в </w:t>
      </w:r>
      <w:r>
        <w:rPr>
          <w:rStyle w:val="cat-Timegrp-22rplc-12"/>
          <w:b w:val="0"/>
          <w:bCs w:val="0"/>
          <w:i w:val="0"/>
          <w:iCs w:val="0"/>
          <w:sz w:val="26"/>
          <w:szCs w:val="26"/>
        </w:rPr>
        <w:t>время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управляя автомобилем марки</w:t>
      </w:r>
      <w:r>
        <w:rPr>
          <w:b w:val="0"/>
          <w:bCs w:val="0"/>
          <w:i w:val="0"/>
          <w:iCs w:val="0"/>
          <w:sz w:val="26"/>
          <w:szCs w:val="26"/>
        </w:rPr>
        <w:t xml:space="preserve"> «</w:t>
      </w:r>
      <w:r>
        <w:rPr>
          <w:b w:val="0"/>
          <w:bCs w:val="0"/>
          <w:i w:val="0"/>
          <w:iCs w:val="0"/>
          <w:sz w:val="26"/>
          <w:szCs w:val="26"/>
        </w:rPr>
        <w:t>Skoda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>Kodiaq</w:t>
      </w:r>
      <w:r>
        <w:rPr>
          <w:b w:val="0"/>
          <w:bCs w:val="0"/>
          <w:i w:val="0"/>
          <w:iCs w:val="0"/>
          <w:sz w:val="26"/>
          <w:szCs w:val="26"/>
        </w:rPr>
        <w:t xml:space="preserve">» («Шкода </w:t>
      </w:r>
      <w:r>
        <w:rPr>
          <w:b w:val="0"/>
          <w:bCs w:val="0"/>
          <w:i w:val="0"/>
          <w:iCs w:val="0"/>
          <w:sz w:val="26"/>
          <w:szCs w:val="26"/>
        </w:rPr>
        <w:t>Кодиак</w:t>
      </w:r>
      <w:r>
        <w:rPr>
          <w:b w:val="0"/>
          <w:bCs w:val="0"/>
          <w:i w:val="0"/>
          <w:iCs w:val="0"/>
          <w:sz w:val="26"/>
          <w:szCs w:val="26"/>
        </w:rPr>
        <w:t>»)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государственный регистрационный знак </w:t>
      </w:r>
      <w:r>
        <w:rPr>
          <w:b w:val="0"/>
          <w:bCs w:val="0"/>
          <w:i w:val="0"/>
          <w:iCs w:val="0"/>
          <w:sz w:val="26"/>
          <w:szCs w:val="26"/>
        </w:rPr>
        <w:t>А297УР 186 рег.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двигаясь по автомобильной </w:t>
      </w:r>
      <w:r>
        <w:rPr>
          <w:rStyle w:val="cat-Addressgrp-6rplc-13"/>
          <w:b w:val="0"/>
          <w:bCs w:val="0"/>
          <w:i w:val="0"/>
          <w:iCs w:val="0"/>
          <w:sz w:val="26"/>
          <w:szCs w:val="26"/>
        </w:rPr>
        <w:t>адрес</w:t>
      </w:r>
      <w:r>
        <w:rPr>
          <w:b w:val="0"/>
          <w:bCs w:val="0"/>
          <w:i w:val="0"/>
          <w:iCs w:val="0"/>
          <w:sz w:val="26"/>
          <w:szCs w:val="26"/>
        </w:rPr>
        <w:t xml:space="preserve"> «Тюмень-Тобольск-Ханты-Мансийск» </w:t>
      </w:r>
      <w:r>
        <w:rPr>
          <w:b w:val="0"/>
          <w:bCs w:val="0"/>
          <w:i w:val="0"/>
          <w:iCs w:val="0"/>
          <w:sz w:val="26"/>
          <w:szCs w:val="26"/>
        </w:rPr>
        <w:t xml:space="preserve">со стороны </w:t>
      </w:r>
      <w:r>
        <w:rPr>
          <w:rStyle w:val="cat-Addressgrp-0rplc-14"/>
          <w:b w:val="0"/>
          <w:bCs w:val="0"/>
          <w:i w:val="0"/>
          <w:iCs w:val="0"/>
          <w:sz w:val="26"/>
          <w:szCs w:val="26"/>
        </w:rPr>
        <w:t>адрес</w:t>
      </w:r>
      <w:r>
        <w:rPr>
          <w:b w:val="0"/>
          <w:bCs w:val="0"/>
          <w:i w:val="0"/>
          <w:iCs w:val="0"/>
          <w:sz w:val="26"/>
          <w:szCs w:val="26"/>
        </w:rPr>
        <w:t xml:space="preserve"> в сторону </w:t>
      </w:r>
      <w:r>
        <w:rPr>
          <w:rStyle w:val="cat-Addressgrp-5rplc-15"/>
          <w:b w:val="0"/>
          <w:bCs w:val="0"/>
          <w:i w:val="0"/>
          <w:iCs w:val="0"/>
          <w:sz w:val="26"/>
          <w:szCs w:val="26"/>
        </w:rPr>
        <w:t>адрес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на </w:t>
      </w:r>
      <w:r>
        <w:rPr>
          <w:b w:val="0"/>
          <w:bCs w:val="0"/>
          <w:i w:val="0"/>
          <w:iCs w:val="0"/>
          <w:sz w:val="26"/>
          <w:szCs w:val="26"/>
        </w:rPr>
        <w:t>924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км. данной автомобильной дороги в </w:t>
      </w:r>
      <w:r>
        <w:rPr>
          <w:rStyle w:val="cat-Addressgrp-4rplc-16"/>
          <w:b w:val="0"/>
          <w:bCs w:val="0"/>
          <w:i w:val="0"/>
          <w:iCs w:val="0"/>
          <w:sz w:val="26"/>
          <w:szCs w:val="26"/>
        </w:rPr>
        <w:t>адрес</w:t>
      </w:r>
      <w:r>
        <w:rPr>
          <w:b w:val="0"/>
          <w:bCs w:val="0"/>
          <w:i w:val="0"/>
          <w:iCs w:val="0"/>
          <w:sz w:val="26"/>
          <w:szCs w:val="26"/>
        </w:rPr>
        <w:t xml:space="preserve"> совершил обгон транспортного средства</w:t>
      </w:r>
      <w:r>
        <w:rPr>
          <w:b w:val="0"/>
          <w:bCs w:val="0"/>
          <w:i w:val="0"/>
          <w:iCs w:val="0"/>
          <w:sz w:val="26"/>
          <w:szCs w:val="26"/>
        </w:rPr>
        <w:t xml:space="preserve">, </w:t>
      </w:r>
      <w:r>
        <w:rPr>
          <w:b w:val="0"/>
          <w:bCs w:val="0"/>
          <w:i w:val="0"/>
          <w:iCs w:val="0"/>
          <w:sz w:val="26"/>
          <w:szCs w:val="26"/>
        </w:rPr>
        <w:t>двигавшегося в попутном направлении с выездом на полосу, предназначенную для встречного движения, в зоне действия дорожного знака 3.20 «Обгон запрещен», чем нарушил п.</w:t>
      </w:r>
      <w:r>
        <w:rPr>
          <w:b w:val="0"/>
          <w:bCs w:val="0"/>
          <w:i w:val="0"/>
          <w:iCs w:val="0"/>
          <w:sz w:val="26"/>
          <w:szCs w:val="26"/>
        </w:rPr>
        <w:t>п.</w:t>
      </w:r>
      <w:r>
        <w:rPr>
          <w:b w:val="0"/>
          <w:bCs w:val="0"/>
          <w:i w:val="0"/>
          <w:iCs w:val="0"/>
          <w:sz w:val="26"/>
          <w:szCs w:val="26"/>
        </w:rPr>
        <w:t>1.3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Правил дорожного движения Российской Федерации, утвержденных </w:t>
      </w:r>
      <w:hyperlink r:id="rId4" w:anchor="/document/1305770/entry/0" w:history="1">
        <w:r>
          <w:rPr>
            <w:b w:val="0"/>
            <w:bCs w:val="0"/>
            <w:i w:val="0"/>
            <w:iCs w:val="0"/>
            <w:color w:val="0000EE"/>
            <w:sz w:val="26"/>
            <w:szCs w:val="26"/>
          </w:rPr>
          <w:t>постановлением</w:t>
        </w:r>
      </w:hyperlink>
      <w:r>
        <w:rPr>
          <w:b w:val="0"/>
          <w:bCs w:val="0"/>
          <w:i w:val="0"/>
          <w:iCs w:val="0"/>
          <w:sz w:val="26"/>
          <w:szCs w:val="26"/>
        </w:rPr>
        <w:t xml:space="preserve"> Правительства РФ от </w:t>
      </w:r>
      <w:r>
        <w:rPr>
          <w:rStyle w:val="cat-Dategrp-12rplc-17"/>
          <w:b w:val="0"/>
          <w:bCs w:val="0"/>
          <w:i w:val="0"/>
          <w:iCs w:val="0"/>
          <w:sz w:val="26"/>
          <w:szCs w:val="26"/>
        </w:rPr>
        <w:t>дата</w:t>
      </w:r>
      <w:r>
        <w:rPr>
          <w:b w:val="0"/>
          <w:bCs w:val="0"/>
          <w:i w:val="0"/>
          <w:iCs w:val="0"/>
          <w:sz w:val="26"/>
          <w:szCs w:val="26"/>
        </w:rPr>
        <w:t xml:space="preserve"> №1090 (далее-ПДД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правонарушения не оспаривал, пояснил, что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14 часов, управляя автомобилем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(«Шкода </w:t>
      </w:r>
      <w:r>
        <w:rPr>
          <w:rFonts w:ascii="Times New Roman" w:eastAsia="Times New Roman" w:hAnsi="Times New Roman" w:cs="Times New Roman"/>
          <w:sz w:val="28"/>
          <w:szCs w:val="28"/>
        </w:rPr>
        <w:t>Кодиак</w:t>
      </w:r>
      <w:r>
        <w:rPr>
          <w:rFonts w:ascii="Times New Roman" w:eastAsia="Times New Roman" w:hAnsi="Times New Roman" w:cs="Times New Roman"/>
          <w:sz w:val="28"/>
          <w:szCs w:val="28"/>
        </w:rPr>
        <w:t>»),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А297УР 186 рег.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92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км. автомобильной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обгон впереди идущего транспортного средства в зоне действия знака «3.20» по невнимательности.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п.4 ст.22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3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единый порядок дорожного движения на всей </w:t>
      </w:r>
      <w:r>
        <w:rPr>
          <w:rStyle w:val="cat-Addressgrp-7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Водитель транспортного средства в соответствии с пунктом 10.1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3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>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3.20 «Обгон запрещен»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Style w:val="cat-FIOgrp-15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выразившегося в совершении обгона в зоне действия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684456 от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места совершения административного правонарушения, составленной в присутствии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каких-либо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замечаний к содержанию схемы </w:t>
      </w:r>
      <w:r>
        <w:rPr>
          <w:rFonts w:ascii="Times New Roman" w:eastAsia="Times New Roman" w:hAnsi="Times New Roman" w:cs="Times New Roman"/>
          <w:sz w:val="26"/>
          <w:szCs w:val="26"/>
        </w:rPr>
        <w:t>не поступило.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 автомобильной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участке дороги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км </w:t>
      </w:r>
      <w:r>
        <w:rPr>
          <w:rFonts w:ascii="Times New Roman" w:eastAsia="Times New Roman" w:hAnsi="Times New Roman" w:cs="Times New Roman"/>
          <w:sz w:val="26"/>
          <w:szCs w:val="26"/>
        </w:rPr>
        <w:t>846+151-км 952+979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инспектора ДПС взвода 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№1 ОБ ДПС ГИБДД УМВД России по ХМАО-Югре </w:t>
      </w:r>
      <w:r>
        <w:rPr>
          <w:rStyle w:val="cat-FIOgrp-17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видеозаписью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изложенных доказательств мировой судья приходит к выводу о виновности </w:t>
      </w:r>
      <w:r>
        <w:rPr>
          <w:rStyle w:val="cat-FIOgrp-15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квалификации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действий по ч.4 ст.12.15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ставящее под угрозу безопасность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признание вины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раскаяние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6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ч.4 с</w:t>
      </w:r>
      <w:r>
        <w:rPr>
          <w:rFonts w:ascii="Times New Roman" w:eastAsia="Times New Roman" w:hAnsi="Times New Roman" w:cs="Times New Roman"/>
          <w:sz w:val="26"/>
          <w:szCs w:val="26"/>
        </w:rPr>
        <w:t>т.12.15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</w:t>
      </w:r>
      <w:r>
        <w:rPr>
          <w:rStyle w:val="cat-Sumgrp-19rplc-3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силу, за исключением случая, предусмотренного частью 1.1 или 1.3 ст.32.2 КоАП РФ, либо со дня 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</w:t>
      </w:r>
      <w:r>
        <w:rPr>
          <w:rStyle w:val="cat-Addressgrp-8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9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(УМВД России по ХМАО-Югре) ОКТМО </w:t>
      </w:r>
      <w:r>
        <w:rPr>
          <w:rStyle w:val="cat-PhoneNumbergrp-23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4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Sumgrp-20rplc-3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счет получателя: 03100643000000018700, банк получателя РКЦ Ханты-Мансийск </w:t>
      </w:r>
      <w:r>
        <w:rPr>
          <w:rStyle w:val="cat-Addressgrp-0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5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27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1881048625091000</w:t>
      </w:r>
      <w:r>
        <w:rPr>
          <w:rFonts w:ascii="Times New Roman" w:eastAsia="Times New Roman" w:hAnsi="Times New Roman" w:cs="Times New Roman"/>
          <w:sz w:val="26"/>
          <w:szCs w:val="26"/>
        </w:rPr>
        <w:t>8921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8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8rplc-4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77099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2rplc-12">
    <w:name w:val="cat-Time grp-22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Sumgrp-19rplc-34">
    <w:name w:val="cat-Sum grp-19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9rplc-36">
    <w:name w:val="cat-Address grp-9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Sumgrp-20rplc-39">
    <w:name w:val="cat-Sum grp-20 rplc-39"/>
    <w:basedOn w:val="DefaultParagraphFont"/>
  </w:style>
  <w:style w:type="character" w:customStyle="1" w:styleId="cat-Addressgrp-0rplc-40">
    <w:name w:val="cat-Address grp-0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ECF14-002F-4282-9755-3D2A9767D3E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